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2967" w14:textId="7392A359" w:rsidR="003D3F40" w:rsidRDefault="003D3F40" w:rsidP="00E23FC3">
      <w:pPr>
        <w:ind w:right="-589" w:hanging="851"/>
        <w:rPr>
          <w:b/>
          <w:color w:val="4F6228" w:themeColor="accent3" w:themeShade="80"/>
          <w:sz w:val="24"/>
          <w:szCs w:val="24"/>
          <w:highlight w:val="lightGray"/>
        </w:rPr>
      </w:pPr>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6C6750E1" w14:textId="77777777" w:rsidR="00A661A2" w:rsidRDefault="00A661A2" w:rsidP="00A661A2">
            <w:pPr>
              <w:spacing w:after="60"/>
              <w:ind w:right="-589" w:firstLine="34"/>
              <w:rPr>
                <w:b/>
                <w:color w:val="4F6228" w:themeColor="accent3" w:themeShade="80"/>
                <w:sz w:val="28"/>
                <w:szCs w:val="28"/>
              </w:rPr>
            </w:pPr>
            <w:r w:rsidRPr="00A661A2">
              <w:rPr>
                <w:b/>
                <w:color w:val="4F6228" w:themeColor="accent3" w:themeShade="80"/>
                <w:sz w:val="28"/>
                <w:szCs w:val="28"/>
              </w:rPr>
              <w:t>1591 Warrenheip Primary School</w:t>
            </w:r>
            <w:r w:rsidR="0001550E" w:rsidRPr="00A661A2">
              <w:rPr>
                <w:b/>
                <w:color w:val="4F6228" w:themeColor="accent3" w:themeShade="80"/>
                <w:sz w:val="28"/>
                <w:szCs w:val="28"/>
              </w:rPr>
              <w:t xml:space="preserve"> </w:t>
            </w:r>
          </w:p>
          <w:p w14:paraId="5443513F" w14:textId="0E0EE4AC" w:rsidR="0001550E" w:rsidRPr="00A661A2" w:rsidRDefault="0001550E" w:rsidP="00A661A2">
            <w:pPr>
              <w:spacing w:after="60"/>
              <w:ind w:right="-589" w:firstLine="34"/>
              <w:rPr>
                <w:b/>
                <w:color w:val="4F6228" w:themeColor="accent3" w:themeShade="80"/>
                <w:sz w:val="28"/>
                <w:szCs w:val="28"/>
              </w:rPr>
            </w:pPr>
            <w:r w:rsidRPr="00A661A2">
              <w:rPr>
                <w:b/>
                <w:color w:val="4F6228" w:themeColor="accent3" w:themeShade="80"/>
                <w:sz w:val="28"/>
                <w:szCs w:val="28"/>
              </w:rPr>
              <w:t>Strategic Plan 20</w:t>
            </w:r>
            <w:r w:rsidR="00A661A2" w:rsidRPr="00A661A2">
              <w:rPr>
                <w:b/>
                <w:color w:val="4F6228" w:themeColor="accent3" w:themeShade="80"/>
                <w:sz w:val="28"/>
                <w:szCs w:val="28"/>
              </w:rPr>
              <w:t>16</w:t>
            </w:r>
            <w:r w:rsidRPr="00A661A2">
              <w:rPr>
                <w:b/>
                <w:color w:val="4F6228" w:themeColor="accent3" w:themeShade="80"/>
                <w:sz w:val="28"/>
                <w:szCs w:val="28"/>
              </w:rPr>
              <w:t>-20</w:t>
            </w:r>
            <w:r w:rsidR="00A661A2" w:rsidRPr="00A661A2">
              <w:rPr>
                <w:b/>
                <w:color w:val="4F6228" w:themeColor="accent3" w:themeShade="80"/>
                <w:sz w:val="28"/>
                <w:szCs w:val="28"/>
              </w:rPr>
              <w:t>20</w:t>
            </w: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18F9B650" w14:textId="20BFC7FD" w:rsidR="00776AA9"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00A661A2">
              <w:rPr>
                <w:sz w:val="18"/>
                <w:szCs w:val="18"/>
              </w:rPr>
              <w:t xml:space="preserve">         Arthur Lane</w:t>
            </w:r>
            <w:r>
              <w:rPr>
                <w:sz w:val="18"/>
                <w:szCs w:val="18"/>
              </w:rPr>
              <w:tab/>
            </w:r>
            <w:r w:rsidRPr="00907788">
              <w:rPr>
                <w:sz w:val="18"/>
                <w:szCs w:val="18"/>
                <w:highlight w:val="lightGray"/>
              </w:rPr>
              <w:t>[name]</w:t>
            </w:r>
            <w:r w:rsidR="00776AA9">
              <w:rPr>
                <w:sz w:val="18"/>
                <w:szCs w:val="18"/>
              </w:rPr>
              <w:t xml:space="preserve">             01/05/2017</w:t>
            </w:r>
          </w:p>
          <w:p w14:paraId="3DD0DA91" w14:textId="35FE9FF0"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sidR="00A661A2">
              <w:rPr>
                <w:sz w:val="18"/>
                <w:szCs w:val="18"/>
              </w:rPr>
              <w:t xml:space="preserve">      Julie Blackmore</w:t>
            </w:r>
            <w:r>
              <w:rPr>
                <w:sz w:val="18"/>
                <w:szCs w:val="18"/>
              </w:rPr>
              <w:tab/>
            </w:r>
            <w:r>
              <w:rPr>
                <w:sz w:val="18"/>
                <w:szCs w:val="18"/>
              </w:rPr>
              <w:tab/>
            </w:r>
            <w:r w:rsidRPr="00907788">
              <w:rPr>
                <w:sz w:val="18"/>
                <w:szCs w:val="18"/>
                <w:highlight w:val="lightGray"/>
              </w:rPr>
              <w:t>[name]</w:t>
            </w:r>
            <w:r w:rsidR="00776AA9">
              <w:rPr>
                <w:sz w:val="18"/>
                <w:szCs w:val="18"/>
              </w:rPr>
              <w:t xml:space="preserve">         </w:t>
            </w:r>
            <w:r w:rsidR="00776AA9">
              <w:rPr>
                <w:sz w:val="18"/>
                <w:szCs w:val="18"/>
              </w:rPr>
              <w:t>01/05/2017</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4D603156" w:rsidR="0001550E" w:rsidRDefault="0001550E" w:rsidP="003D3F40">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sidR="00A661A2">
              <w:rPr>
                <w:sz w:val="18"/>
                <w:szCs w:val="18"/>
              </w:rPr>
              <w:t xml:space="preserve">         Jenny Malberg</w:t>
            </w:r>
            <w:r>
              <w:rPr>
                <w:sz w:val="18"/>
                <w:szCs w:val="18"/>
              </w:rPr>
              <w:tab/>
            </w:r>
            <w:r>
              <w:rPr>
                <w:sz w:val="18"/>
                <w:szCs w:val="18"/>
              </w:rPr>
              <w:tab/>
            </w:r>
            <w:r w:rsidR="00776AA9">
              <w:rPr>
                <w:sz w:val="18"/>
                <w:szCs w:val="18"/>
                <w:highlight w:val="lightGray"/>
              </w:rPr>
              <w:t xml:space="preserve">[name          </w:t>
            </w:r>
            <w:r w:rsidR="00776AA9">
              <w:rPr>
                <w:sz w:val="18"/>
                <w:szCs w:val="18"/>
              </w:rPr>
              <w:t>01/05/2017</w:t>
            </w:r>
            <w:bookmarkStart w:id="0" w:name="_GoBack"/>
            <w:bookmarkEnd w:id="0"/>
            <w:r>
              <w:rPr>
                <w:sz w:val="18"/>
                <w:szCs w:val="18"/>
              </w:rPr>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38F570DA"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5086219D"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0C8A6E59" w:rsidR="00B85BE6" w:rsidRPr="00907788" w:rsidRDefault="006569E2" w:rsidP="00B85BE6">
            <w:pPr>
              <w:spacing w:before="120"/>
              <w:rPr>
                <w:b/>
                <w:sz w:val="18"/>
                <w:szCs w:val="18"/>
              </w:rPr>
            </w:pPr>
            <w:r>
              <w:rPr>
                <w:b/>
                <w:sz w:val="18"/>
                <w:szCs w:val="18"/>
              </w:rPr>
              <w:t>Context and challenges</w:t>
            </w:r>
          </w:p>
          <w:p w14:paraId="3466307B" w14:textId="1BFAAC63"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220"/>
        </w:trPr>
        <w:tc>
          <w:tcPr>
            <w:tcW w:w="3686" w:type="dxa"/>
            <w:vMerge w:val="restart"/>
          </w:tcPr>
          <w:p w14:paraId="7BB3C482" w14:textId="785C8B2A" w:rsidR="00B85BE6" w:rsidRDefault="004E55C3" w:rsidP="00F5776D">
            <w:pPr>
              <w:rPr>
                <w:sz w:val="18"/>
                <w:szCs w:val="18"/>
                <w:highlight w:val="lightGray"/>
              </w:rPr>
            </w:pPr>
            <w:r w:rsidRPr="00B95F10">
              <w:rPr>
                <w:rFonts w:cs="Arial"/>
                <w:noProof/>
              </w:rPr>
              <w:t xml:space="preserve">The school's vision is for the students to become successful learners in an environment that provides the best possible opportunites for </w:t>
            </w:r>
            <w:r w:rsidR="00F5776D">
              <w:rPr>
                <w:rFonts w:cs="Arial"/>
                <w:noProof/>
              </w:rPr>
              <w:t>academic excellence</w:t>
            </w:r>
            <w:r w:rsidRPr="00B95F10">
              <w:rPr>
                <w:rFonts w:cs="Arial"/>
                <w:noProof/>
              </w:rPr>
              <w:t xml:space="preserve">. </w:t>
            </w:r>
          </w:p>
        </w:tc>
        <w:tc>
          <w:tcPr>
            <w:tcW w:w="4678" w:type="dxa"/>
            <w:vMerge w:val="restart"/>
          </w:tcPr>
          <w:p w14:paraId="2911727E" w14:textId="7605389B" w:rsidR="008509F8" w:rsidRPr="008509F8" w:rsidRDefault="002162D6" w:rsidP="002162D6">
            <w:pPr>
              <w:pStyle w:val="ListParagraph"/>
              <w:numPr>
                <w:ilvl w:val="0"/>
                <w:numId w:val="6"/>
              </w:numPr>
            </w:pPr>
            <w:r>
              <w:t>Ambition</w:t>
            </w:r>
          </w:p>
          <w:p w14:paraId="6E218D19" w14:textId="63680840" w:rsidR="00B85BE6" w:rsidRPr="008509F8" w:rsidRDefault="008509F8" w:rsidP="002162D6">
            <w:pPr>
              <w:pStyle w:val="ListParagraph"/>
              <w:numPr>
                <w:ilvl w:val="0"/>
                <w:numId w:val="6"/>
              </w:numPr>
            </w:pPr>
            <w:r w:rsidRPr="008509F8">
              <w:t>Respect</w:t>
            </w:r>
          </w:p>
          <w:p w14:paraId="202C0D3E" w14:textId="448BE5B2" w:rsidR="002162D6" w:rsidRPr="008509F8" w:rsidRDefault="002162D6" w:rsidP="002162D6">
            <w:pPr>
              <w:pStyle w:val="ListParagraph"/>
              <w:numPr>
                <w:ilvl w:val="0"/>
                <w:numId w:val="6"/>
              </w:numPr>
            </w:pPr>
            <w:r>
              <w:t>Responsibility</w:t>
            </w:r>
          </w:p>
          <w:p w14:paraId="29870191" w14:textId="77777777" w:rsidR="002162D6" w:rsidRDefault="002162D6" w:rsidP="002162D6">
            <w:pPr>
              <w:pStyle w:val="ListParagraph"/>
              <w:numPr>
                <w:ilvl w:val="0"/>
                <w:numId w:val="6"/>
              </w:numPr>
            </w:pPr>
            <w:r w:rsidRPr="008509F8">
              <w:t>Collaboration</w:t>
            </w:r>
          </w:p>
          <w:p w14:paraId="154A1D91" w14:textId="49FAF662" w:rsidR="00B85BE6" w:rsidRPr="008509F8" w:rsidRDefault="00B85BE6" w:rsidP="00B85BE6"/>
        </w:tc>
        <w:tc>
          <w:tcPr>
            <w:tcW w:w="6946" w:type="dxa"/>
            <w:vMerge w:val="restart"/>
          </w:tcPr>
          <w:p w14:paraId="481D6A22" w14:textId="77777777" w:rsidR="00B85BE6" w:rsidRPr="00874CD6" w:rsidRDefault="002162D6" w:rsidP="0038025F">
            <w:pPr>
              <w:pStyle w:val="Table-Entry"/>
              <w:rPr>
                <w:rFonts w:asciiTheme="minorHAnsi" w:hAnsiTheme="minorHAnsi"/>
                <w:color w:val="auto"/>
                <w:sz w:val="22"/>
                <w:szCs w:val="20"/>
              </w:rPr>
            </w:pPr>
            <w:r w:rsidRPr="00874CD6">
              <w:rPr>
                <w:rFonts w:asciiTheme="minorHAnsi" w:hAnsiTheme="minorHAnsi"/>
                <w:color w:val="auto"/>
                <w:sz w:val="22"/>
                <w:szCs w:val="20"/>
              </w:rPr>
              <w:t>Warrenheip is a small primary school situated five kilometers from the eastern approaches to the city of Ballarat. The school has existed on its current site for over 100 years and has strong ties with its local community. Enrolments have declined over 2013-16 to the current enrolment of 26 and current enrolments are drawn from the immediate community and from the outer fringes of urban Ballarat.</w:t>
            </w:r>
          </w:p>
          <w:p w14:paraId="067AB201" w14:textId="77777777" w:rsidR="0038025F" w:rsidRPr="00874CD6" w:rsidRDefault="0038025F" w:rsidP="0038025F">
            <w:pPr>
              <w:pStyle w:val="Table-Entry"/>
              <w:rPr>
                <w:rFonts w:asciiTheme="minorHAnsi" w:hAnsiTheme="minorHAnsi"/>
                <w:color w:val="auto"/>
                <w:sz w:val="22"/>
                <w:szCs w:val="20"/>
              </w:rPr>
            </w:pPr>
          </w:p>
          <w:p w14:paraId="2DD7A514" w14:textId="3F5FF509" w:rsidR="0038025F" w:rsidRPr="00874CD6" w:rsidRDefault="0038025F" w:rsidP="0038025F">
            <w:pPr>
              <w:pStyle w:val="Table-Entry"/>
              <w:rPr>
                <w:rFonts w:asciiTheme="minorHAnsi" w:hAnsiTheme="minorHAnsi"/>
                <w:color w:val="auto"/>
                <w:sz w:val="22"/>
                <w:szCs w:val="20"/>
              </w:rPr>
            </w:pPr>
            <w:r w:rsidRPr="00874CD6">
              <w:rPr>
                <w:rFonts w:asciiTheme="minorHAnsi" w:hAnsiTheme="minorHAnsi"/>
                <w:color w:val="auto"/>
                <w:sz w:val="22"/>
                <w:szCs w:val="20"/>
              </w:rPr>
              <w:t>Key challenges are to continue the tradition of academic excellence while increasing the enrolment to a more sustainable level.</w:t>
            </w:r>
          </w:p>
        </w:tc>
        <w:tc>
          <w:tcPr>
            <w:tcW w:w="7229" w:type="dxa"/>
            <w:vMerge w:val="restart"/>
          </w:tcPr>
          <w:p w14:paraId="1C06DB3A" w14:textId="5EA01255" w:rsidR="0038025F" w:rsidRPr="00874CD6" w:rsidRDefault="0038025F" w:rsidP="0038025F">
            <w:r w:rsidRPr="00874CD6">
              <w:t xml:space="preserve">The school will build the capacity of staff to facilitate high quality teaching and learning. This will include </w:t>
            </w:r>
            <w:r w:rsidR="00874CD6" w:rsidRPr="00874CD6">
              <w:t xml:space="preserve">an agreed instructional model and </w:t>
            </w:r>
            <w:r w:rsidRPr="00874CD6">
              <w:t xml:space="preserve">the use of data to support effective learning and to monitor learning growth. </w:t>
            </w:r>
            <w:r w:rsidR="00874CD6" w:rsidRPr="00874CD6">
              <w:t xml:space="preserve">The school will </w:t>
            </w:r>
            <w:r w:rsidR="00874CD6">
              <w:t>also build relationships with all stakeholders to create a positive climate for learning.</w:t>
            </w:r>
          </w:p>
          <w:p w14:paraId="5F50AFC9" w14:textId="77777777" w:rsidR="00874CD6" w:rsidRDefault="0038025F" w:rsidP="0038025F">
            <w:r w:rsidRPr="00874CD6">
              <w:t>Our focus will be</w:t>
            </w:r>
            <w:r w:rsidR="00874CD6">
              <w:t>:</w:t>
            </w:r>
          </w:p>
          <w:p w14:paraId="2E5B124A" w14:textId="257FC4AC" w:rsidR="00B85BE6" w:rsidRPr="00874CD6" w:rsidRDefault="00874CD6" w:rsidP="0038025F">
            <w:r>
              <w:t>T</w:t>
            </w:r>
            <w:r w:rsidR="0038025F" w:rsidRPr="00874CD6">
              <w:t>o improve student learning outcomes in Literacy and Numeracy</w:t>
            </w:r>
            <w:r>
              <w:t>,</w:t>
            </w:r>
            <w:r w:rsidR="0038025F" w:rsidRPr="00874CD6">
              <w:t xml:space="preserve"> ensur</w:t>
            </w:r>
            <w:r>
              <w:t>ing</w:t>
            </w:r>
            <w:r w:rsidR="0038025F" w:rsidRPr="00874CD6">
              <w:t xml:space="preserve"> high learning growth.</w:t>
            </w:r>
          </w:p>
          <w:p w14:paraId="749BBB7F" w14:textId="7DC038DA" w:rsidR="00874CD6" w:rsidRPr="00874CD6" w:rsidRDefault="00874CD6" w:rsidP="0038025F">
            <w:r>
              <w:t>To develop students as resilient, resourceful, reflective and reciprocal learners.</w:t>
            </w:r>
          </w:p>
        </w:tc>
      </w:tr>
      <w:tr w:rsidR="00B85BE6" w14:paraId="1C2E7DB7" w14:textId="77777777" w:rsidTr="00367C8D">
        <w:trPr>
          <w:trHeight w:val="220"/>
        </w:trPr>
        <w:tc>
          <w:tcPr>
            <w:tcW w:w="3686" w:type="dxa"/>
            <w:vMerge/>
            <w:shd w:val="clear" w:color="auto" w:fill="C2D69B" w:themeFill="accent3" w:themeFillTint="99"/>
          </w:tcPr>
          <w:p w14:paraId="2E752559" w14:textId="03AA14AB"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67C8D">
        <w:trPr>
          <w:trHeight w:val="220"/>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6569E2">
        <w:trPr>
          <w:trHeight w:val="570"/>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6569E2" w14:paraId="572CE555" w14:textId="772407F0" w:rsidTr="00C627D9">
        <w:trPr>
          <w:trHeight w:val="720"/>
        </w:trPr>
        <w:tc>
          <w:tcPr>
            <w:tcW w:w="6663" w:type="dxa"/>
            <w:tcBorders>
              <w:bottom w:val="single" w:sz="2" w:space="0" w:color="auto"/>
            </w:tcBorders>
            <w:shd w:val="clear" w:color="auto" w:fill="auto"/>
          </w:tcPr>
          <w:p w14:paraId="6BEF8DA5" w14:textId="77777777" w:rsidR="00910D32" w:rsidRDefault="00910D32" w:rsidP="0042621B">
            <w:pPr>
              <w:pStyle w:val="Default"/>
              <w:rPr>
                <w:rFonts w:ascii="Verdana" w:hAnsi="Verdana"/>
                <w:b/>
                <w:color w:val="auto"/>
                <w:sz w:val="20"/>
                <w:szCs w:val="20"/>
              </w:rPr>
            </w:pPr>
          </w:p>
          <w:p w14:paraId="5EDE4D22" w14:textId="6099160B" w:rsidR="0042621B" w:rsidRPr="00EB2CF4" w:rsidRDefault="0042621B" w:rsidP="0042621B">
            <w:pPr>
              <w:pStyle w:val="Default"/>
              <w:rPr>
                <w:rFonts w:ascii="Verdana" w:hAnsi="Verdana"/>
                <w:b/>
                <w:color w:val="auto"/>
                <w:sz w:val="20"/>
                <w:szCs w:val="20"/>
              </w:rPr>
            </w:pPr>
            <w:r w:rsidRPr="00EB2CF4">
              <w:rPr>
                <w:rFonts w:ascii="Verdana" w:hAnsi="Verdana"/>
                <w:b/>
                <w:color w:val="auto"/>
                <w:sz w:val="20"/>
                <w:szCs w:val="20"/>
              </w:rPr>
              <w:t>Goal</w:t>
            </w:r>
            <w:r>
              <w:rPr>
                <w:rFonts w:ascii="Verdana" w:hAnsi="Verdana"/>
                <w:b/>
                <w:color w:val="auto"/>
                <w:sz w:val="20"/>
                <w:szCs w:val="20"/>
              </w:rPr>
              <w:t>:</w:t>
            </w:r>
          </w:p>
          <w:p w14:paraId="11420305" w14:textId="77777777" w:rsidR="0042621B" w:rsidRDefault="0042621B" w:rsidP="0042621B">
            <w:pPr>
              <w:pStyle w:val="Table-Entry"/>
              <w:rPr>
                <w:rFonts w:ascii="Verdana" w:hAnsi="Verdana"/>
                <w:color w:val="auto"/>
              </w:rPr>
            </w:pPr>
            <w:r w:rsidRPr="00096A9E">
              <w:rPr>
                <w:rFonts w:ascii="Verdana" w:hAnsi="Verdana"/>
                <w:color w:val="auto"/>
              </w:rPr>
              <w:t>To improve student learning outcomes in Literacy and Numeracy to ensure</w:t>
            </w:r>
            <w:r>
              <w:rPr>
                <w:rFonts w:ascii="Verdana" w:hAnsi="Verdana"/>
                <w:color w:val="auto"/>
              </w:rPr>
              <w:t xml:space="preserve"> high</w:t>
            </w:r>
            <w:r w:rsidRPr="00096A9E">
              <w:rPr>
                <w:rFonts w:ascii="Verdana" w:hAnsi="Verdana"/>
                <w:color w:val="auto"/>
              </w:rPr>
              <w:t xml:space="preserve"> learning growth with a specific focus on </w:t>
            </w:r>
            <w:r>
              <w:rPr>
                <w:rFonts w:ascii="Verdana" w:hAnsi="Verdana"/>
                <w:color w:val="auto"/>
              </w:rPr>
              <w:t>Reading in years 3-6</w:t>
            </w:r>
            <w:r w:rsidRPr="00096A9E">
              <w:rPr>
                <w:rFonts w:ascii="Verdana" w:hAnsi="Verdana"/>
                <w:color w:val="auto"/>
              </w:rPr>
              <w:t>.</w:t>
            </w:r>
          </w:p>
          <w:p w14:paraId="04DAF464" w14:textId="77777777" w:rsidR="0042621B" w:rsidRDefault="0042621B" w:rsidP="00C116F6">
            <w:pPr>
              <w:rPr>
                <w:sz w:val="18"/>
                <w:szCs w:val="18"/>
                <w:highlight w:val="lightGray"/>
              </w:rPr>
            </w:pPr>
          </w:p>
          <w:p w14:paraId="2F6D8DD4" w14:textId="77777777" w:rsidR="006569E2" w:rsidRDefault="006569E2" w:rsidP="00A05F71">
            <w:pPr>
              <w:rPr>
                <w:sz w:val="18"/>
                <w:szCs w:val="18"/>
                <w:highlight w:val="lightGray"/>
              </w:rPr>
            </w:pPr>
          </w:p>
        </w:tc>
        <w:tc>
          <w:tcPr>
            <w:tcW w:w="2694" w:type="dxa"/>
            <w:vMerge w:val="restart"/>
            <w:tcBorders>
              <w:bottom w:val="single" w:sz="2" w:space="0" w:color="auto"/>
            </w:tcBorders>
            <w:shd w:val="clear" w:color="auto" w:fill="auto"/>
          </w:tcPr>
          <w:p w14:paraId="594FAC7D" w14:textId="77777777" w:rsidR="00910D32" w:rsidRDefault="00910D32" w:rsidP="00A05F71">
            <w:pPr>
              <w:rPr>
                <w:sz w:val="28"/>
                <w:szCs w:val="28"/>
              </w:rPr>
            </w:pPr>
          </w:p>
          <w:p w14:paraId="5620A8A1" w14:textId="4E919B74" w:rsidR="0042621B" w:rsidRPr="0042621B" w:rsidRDefault="00214D0E" w:rsidP="00A05F71">
            <w:pPr>
              <w:rPr>
                <w:sz w:val="28"/>
                <w:szCs w:val="28"/>
              </w:rPr>
            </w:pPr>
            <w:r>
              <w:rPr>
                <w:sz w:val="28"/>
                <w:szCs w:val="28"/>
              </w:rPr>
              <w:t>Building Practic</w:t>
            </w:r>
            <w:r w:rsidR="0042621B" w:rsidRPr="0042621B">
              <w:rPr>
                <w:sz w:val="28"/>
                <w:szCs w:val="28"/>
              </w:rPr>
              <w:t xml:space="preserve">e excellence </w:t>
            </w:r>
          </w:p>
        </w:tc>
        <w:tc>
          <w:tcPr>
            <w:tcW w:w="6615" w:type="dxa"/>
            <w:tcBorders>
              <w:bottom w:val="single" w:sz="2" w:space="0" w:color="auto"/>
            </w:tcBorders>
            <w:shd w:val="clear" w:color="auto" w:fill="auto"/>
          </w:tcPr>
          <w:p w14:paraId="4061B287" w14:textId="77777777" w:rsidR="00910D32" w:rsidRDefault="00910D32" w:rsidP="00910D32">
            <w:pPr>
              <w:pStyle w:val="Table-Entry"/>
              <w:ind w:left="720"/>
              <w:rPr>
                <w:rFonts w:ascii="Verdana" w:hAnsi="Verdana"/>
                <w:color w:val="auto"/>
                <w:sz w:val="20"/>
                <w:szCs w:val="20"/>
              </w:rPr>
            </w:pPr>
          </w:p>
          <w:p w14:paraId="773FEC93" w14:textId="018E04FB" w:rsidR="0042621B" w:rsidRPr="00324D69" w:rsidRDefault="0042621B" w:rsidP="0042621B">
            <w:pPr>
              <w:pStyle w:val="Table-Entry"/>
              <w:numPr>
                <w:ilvl w:val="0"/>
                <w:numId w:val="4"/>
              </w:numPr>
              <w:rPr>
                <w:rFonts w:ascii="Verdana" w:hAnsi="Verdana"/>
                <w:color w:val="auto"/>
                <w:sz w:val="20"/>
                <w:szCs w:val="20"/>
              </w:rPr>
            </w:pPr>
            <w:r w:rsidRPr="00324D69">
              <w:rPr>
                <w:rFonts w:ascii="Verdana" w:hAnsi="Verdana"/>
                <w:color w:val="auto"/>
                <w:sz w:val="20"/>
                <w:szCs w:val="20"/>
              </w:rPr>
              <w:t>adopt a common whole school approach to the teaching of Literacy and Numeracy.</w:t>
            </w:r>
          </w:p>
          <w:p w14:paraId="349F1D1E" w14:textId="77777777" w:rsidR="006569E2" w:rsidRPr="00665F3B" w:rsidRDefault="006569E2" w:rsidP="00A05F71">
            <w:pPr>
              <w:rPr>
                <w:sz w:val="18"/>
                <w:szCs w:val="18"/>
                <w:highlight w:val="lightGray"/>
              </w:rPr>
            </w:pPr>
          </w:p>
        </w:tc>
        <w:tc>
          <w:tcPr>
            <w:tcW w:w="6615" w:type="dxa"/>
            <w:tcBorders>
              <w:bottom w:val="single" w:sz="2" w:space="0" w:color="auto"/>
            </w:tcBorders>
            <w:shd w:val="clear" w:color="auto" w:fill="auto"/>
          </w:tcPr>
          <w:p w14:paraId="402C0EAE" w14:textId="77777777" w:rsidR="006118F7" w:rsidRPr="00C40892" w:rsidRDefault="006118F7" w:rsidP="006118F7">
            <w:pPr>
              <w:pStyle w:val="ListParagraph"/>
              <w:ind w:left="1080"/>
              <w:rPr>
                <w:rFonts w:ascii="Verdana" w:eastAsia="Times New Roman" w:hAnsi="Verdana" w:cs="Arial"/>
                <w:sz w:val="20"/>
                <w:szCs w:val="20"/>
                <w:lang w:val="en-US"/>
              </w:rPr>
            </w:pPr>
          </w:p>
          <w:p w14:paraId="1B35FA24" w14:textId="41F71D4E" w:rsidR="006118F7" w:rsidRPr="00C40892" w:rsidRDefault="006118F7" w:rsidP="006118F7">
            <w:pPr>
              <w:pStyle w:val="ListParagraph"/>
              <w:numPr>
                <w:ilvl w:val="0"/>
                <w:numId w:val="7"/>
              </w:numPr>
              <w:rPr>
                <w:rFonts w:ascii="Verdana" w:eastAsia="Times New Roman" w:hAnsi="Verdana" w:cs="Arial"/>
                <w:sz w:val="20"/>
                <w:szCs w:val="20"/>
                <w:lang w:val="en-US"/>
              </w:rPr>
            </w:pPr>
            <w:r w:rsidRPr="00C40892">
              <w:rPr>
                <w:rFonts w:ascii="Verdana" w:eastAsia="Times New Roman" w:hAnsi="Verdana" w:cs="Arial"/>
                <w:sz w:val="20"/>
                <w:szCs w:val="20"/>
                <w:lang w:val="en-US"/>
              </w:rPr>
              <w:t>In teacher assessments 40% of students will be consistently performing above the expected level in Literacy and Numeracy.</w:t>
            </w:r>
          </w:p>
          <w:p w14:paraId="15AA5DDC" w14:textId="77777777" w:rsidR="006118F7" w:rsidRPr="00C40892" w:rsidRDefault="006118F7" w:rsidP="006118F7">
            <w:pPr>
              <w:pStyle w:val="ListParagraph"/>
              <w:numPr>
                <w:ilvl w:val="0"/>
                <w:numId w:val="7"/>
              </w:numPr>
              <w:rPr>
                <w:sz w:val="18"/>
                <w:szCs w:val="18"/>
              </w:rPr>
            </w:pPr>
            <w:r w:rsidRPr="00C40892">
              <w:rPr>
                <w:rFonts w:ascii="Verdana" w:eastAsia="Times New Roman" w:hAnsi="Verdana" w:cs="Arial"/>
                <w:sz w:val="20"/>
                <w:szCs w:val="20"/>
                <w:lang w:val="en-US"/>
              </w:rPr>
              <w:t>In NAPLAN, relative growth in both Literacy and Numeracy will show that at least 25% of students are in the high growth category.</w:t>
            </w:r>
          </w:p>
          <w:p w14:paraId="19AA02C5" w14:textId="77777777" w:rsidR="006118F7" w:rsidRPr="00C40892" w:rsidRDefault="006118F7" w:rsidP="006118F7">
            <w:pPr>
              <w:pStyle w:val="ListParagraph"/>
              <w:numPr>
                <w:ilvl w:val="0"/>
                <w:numId w:val="7"/>
              </w:numPr>
              <w:rPr>
                <w:sz w:val="18"/>
                <w:szCs w:val="18"/>
              </w:rPr>
            </w:pPr>
            <w:r w:rsidRPr="00C40892">
              <w:rPr>
                <w:rFonts w:ascii="Verdana" w:eastAsia="Times New Roman" w:hAnsi="Verdana" w:cs="Arial"/>
                <w:color w:val="3B3C3C"/>
                <w:sz w:val="20"/>
                <w:szCs w:val="20"/>
                <w:lang w:val="en-US"/>
              </w:rPr>
              <w:t xml:space="preserve">In teacher assessments at all year levels, evidence that students are making appropriate growth or exceed expected levels according to the Victorian Curriculum. </w:t>
            </w:r>
          </w:p>
          <w:p w14:paraId="3C516BD6" w14:textId="753BFEC7" w:rsidR="006118F7" w:rsidRPr="00C40892" w:rsidRDefault="006118F7" w:rsidP="006118F7">
            <w:pPr>
              <w:pStyle w:val="ListParagraph"/>
              <w:ind w:left="1080"/>
              <w:rPr>
                <w:sz w:val="18"/>
                <w:szCs w:val="18"/>
              </w:rPr>
            </w:pPr>
          </w:p>
        </w:tc>
      </w:tr>
      <w:tr w:rsidR="006569E2" w14:paraId="7498B260" w14:textId="1AA2CF14" w:rsidTr="004423B9">
        <w:trPr>
          <w:trHeight w:val="850"/>
        </w:trPr>
        <w:tc>
          <w:tcPr>
            <w:tcW w:w="6663" w:type="dxa"/>
            <w:tcBorders>
              <w:top w:val="single" w:sz="2" w:space="0" w:color="auto"/>
              <w:left w:val="single" w:sz="2" w:space="0" w:color="auto"/>
              <w:bottom w:val="single" w:sz="12" w:space="0" w:color="auto"/>
              <w:right w:val="single" w:sz="2" w:space="0" w:color="auto"/>
            </w:tcBorders>
            <w:shd w:val="clear" w:color="auto" w:fill="auto"/>
          </w:tcPr>
          <w:p w14:paraId="309F908A" w14:textId="10237D2C" w:rsidR="006569E2" w:rsidRPr="00CC615B" w:rsidRDefault="006569E2" w:rsidP="006569E2">
            <w:pPr>
              <w:spacing w:before="120"/>
              <w:rPr>
                <w:b/>
                <w:sz w:val="18"/>
                <w:szCs w:val="18"/>
              </w:rPr>
            </w:pPr>
          </w:p>
        </w:tc>
        <w:tc>
          <w:tcPr>
            <w:tcW w:w="2694" w:type="dxa"/>
            <w:vMerge/>
            <w:tcBorders>
              <w:top w:val="single" w:sz="2" w:space="0" w:color="auto"/>
              <w:left w:val="single" w:sz="2" w:space="0" w:color="auto"/>
              <w:bottom w:val="single" w:sz="12" w:space="0" w:color="auto"/>
              <w:right w:val="single" w:sz="2" w:space="0" w:color="auto"/>
            </w:tcBorders>
            <w:shd w:val="clear" w:color="auto" w:fill="auto"/>
          </w:tcPr>
          <w:p w14:paraId="7066DB1F" w14:textId="2BCE9E67" w:rsidR="006569E2" w:rsidRPr="00CC615B" w:rsidRDefault="006569E2" w:rsidP="00A05F71">
            <w:pPr>
              <w:spacing w:before="120"/>
              <w:rPr>
                <w:b/>
                <w:sz w:val="18"/>
                <w:szCs w:val="18"/>
              </w:rPr>
            </w:pPr>
          </w:p>
        </w:tc>
        <w:tc>
          <w:tcPr>
            <w:tcW w:w="6615" w:type="dxa"/>
            <w:tcBorders>
              <w:top w:val="single" w:sz="2" w:space="0" w:color="auto"/>
              <w:left w:val="single" w:sz="2" w:space="0" w:color="auto"/>
              <w:bottom w:val="single" w:sz="12" w:space="0" w:color="auto"/>
              <w:right w:val="single" w:sz="2" w:space="0" w:color="auto"/>
            </w:tcBorders>
            <w:shd w:val="clear" w:color="auto" w:fill="auto"/>
          </w:tcPr>
          <w:p w14:paraId="031C67DB" w14:textId="77777777" w:rsidR="004423B9" w:rsidRDefault="004423B9" w:rsidP="004423B9">
            <w:pPr>
              <w:pStyle w:val="Table-Entry"/>
              <w:ind w:left="720"/>
              <w:rPr>
                <w:rFonts w:ascii="Verdana" w:hAnsi="Verdana"/>
                <w:color w:val="auto"/>
                <w:sz w:val="20"/>
                <w:szCs w:val="20"/>
              </w:rPr>
            </w:pPr>
          </w:p>
          <w:p w14:paraId="0F319032" w14:textId="1B6815E3" w:rsidR="0042621B" w:rsidRPr="00C40892" w:rsidRDefault="0042621B" w:rsidP="0042621B">
            <w:pPr>
              <w:pStyle w:val="Table-Entry"/>
              <w:numPr>
                <w:ilvl w:val="0"/>
                <w:numId w:val="4"/>
              </w:numPr>
              <w:rPr>
                <w:rFonts w:ascii="Verdana" w:hAnsi="Verdana"/>
                <w:color w:val="auto"/>
                <w:sz w:val="20"/>
                <w:szCs w:val="20"/>
              </w:rPr>
            </w:pPr>
            <w:r w:rsidRPr="00C40892">
              <w:rPr>
                <w:rFonts w:ascii="Verdana" w:hAnsi="Verdana"/>
                <w:color w:val="auto"/>
                <w:sz w:val="20"/>
                <w:szCs w:val="20"/>
              </w:rPr>
              <w:t>make effective use of data to identify student point of need and learning growth.</w:t>
            </w:r>
          </w:p>
          <w:p w14:paraId="6716E694" w14:textId="77777777" w:rsidR="006569E2" w:rsidRPr="00C40892" w:rsidRDefault="006569E2" w:rsidP="00A05F71">
            <w:pPr>
              <w:rPr>
                <w:sz w:val="18"/>
                <w:szCs w:val="18"/>
              </w:rPr>
            </w:pPr>
          </w:p>
        </w:tc>
        <w:tc>
          <w:tcPr>
            <w:tcW w:w="6615" w:type="dxa"/>
            <w:tcBorders>
              <w:top w:val="single" w:sz="2" w:space="0" w:color="auto"/>
              <w:left w:val="single" w:sz="2" w:space="0" w:color="auto"/>
              <w:bottom w:val="single" w:sz="12" w:space="0" w:color="auto"/>
              <w:right w:val="single" w:sz="2" w:space="0" w:color="auto"/>
            </w:tcBorders>
            <w:shd w:val="clear" w:color="auto" w:fill="auto"/>
          </w:tcPr>
          <w:p w14:paraId="72EF000A" w14:textId="77777777" w:rsidR="006569E2" w:rsidRPr="00C40892" w:rsidRDefault="006569E2" w:rsidP="00A05F71">
            <w:pPr>
              <w:rPr>
                <w:sz w:val="18"/>
                <w:szCs w:val="18"/>
              </w:rPr>
            </w:pPr>
          </w:p>
        </w:tc>
      </w:tr>
      <w:tr w:rsidR="006569E2" w14:paraId="55335813" w14:textId="61E43A44" w:rsidTr="00C40892">
        <w:trPr>
          <w:trHeight w:val="441"/>
        </w:trPr>
        <w:tc>
          <w:tcPr>
            <w:tcW w:w="6663" w:type="dxa"/>
            <w:tcBorders>
              <w:top w:val="single" w:sz="12" w:space="0" w:color="auto"/>
            </w:tcBorders>
            <w:shd w:val="clear" w:color="auto" w:fill="auto"/>
          </w:tcPr>
          <w:p w14:paraId="61CBF6C4" w14:textId="77777777" w:rsidR="006118F7" w:rsidRDefault="006118F7" w:rsidP="006118F7">
            <w:pPr>
              <w:pStyle w:val="Table-Entry"/>
              <w:rPr>
                <w:rFonts w:ascii="Verdana" w:hAnsi="Verdana"/>
                <w:b/>
                <w:color w:val="auto"/>
              </w:rPr>
            </w:pPr>
            <w:r w:rsidRPr="00324D69">
              <w:rPr>
                <w:rFonts w:ascii="Verdana" w:hAnsi="Verdana"/>
                <w:b/>
                <w:color w:val="auto"/>
              </w:rPr>
              <w:t>GOAL:</w:t>
            </w:r>
          </w:p>
          <w:p w14:paraId="68C69C5C" w14:textId="77777777" w:rsidR="006118F7" w:rsidRPr="00324D69" w:rsidRDefault="006118F7" w:rsidP="006118F7">
            <w:pPr>
              <w:pStyle w:val="Table-Entry"/>
              <w:rPr>
                <w:rFonts w:ascii="Verdana" w:hAnsi="Verdana"/>
                <w:b/>
                <w:color w:val="auto"/>
              </w:rPr>
            </w:pPr>
          </w:p>
          <w:p w14:paraId="2669697D" w14:textId="77777777" w:rsidR="006118F7" w:rsidRDefault="006118F7" w:rsidP="006118F7">
            <w:pPr>
              <w:pStyle w:val="Table-Entry"/>
              <w:rPr>
                <w:rFonts w:ascii="Verdana" w:hAnsi="Verdana"/>
                <w:color w:val="auto"/>
              </w:rPr>
            </w:pPr>
            <w:r>
              <w:rPr>
                <w:rFonts w:ascii="Verdana" w:hAnsi="Verdana"/>
                <w:color w:val="auto"/>
              </w:rPr>
              <w:t xml:space="preserve">To develop </w:t>
            </w:r>
            <w:r w:rsidRPr="00672BCB">
              <w:rPr>
                <w:rFonts w:ascii="Verdana" w:hAnsi="Verdana"/>
                <w:color w:val="auto"/>
              </w:rPr>
              <w:t>students as resilient, resourceful, reflective and reciprocal learners.</w:t>
            </w:r>
          </w:p>
          <w:p w14:paraId="32FE5185" w14:textId="2DA9AFDA" w:rsidR="006569E2" w:rsidRDefault="006569E2" w:rsidP="00274510">
            <w:pPr>
              <w:rPr>
                <w:sz w:val="18"/>
                <w:szCs w:val="18"/>
                <w:highlight w:val="lightGray"/>
              </w:rPr>
            </w:pPr>
          </w:p>
        </w:tc>
        <w:tc>
          <w:tcPr>
            <w:tcW w:w="2694" w:type="dxa"/>
            <w:vMerge w:val="restart"/>
            <w:tcBorders>
              <w:top w:val="single" w:sz="12" w:space="0" w:color="auto"/>
            </w:tcBorders>
            <w:shd w:val="clear" w:color="auto" w:fill="auto"/>
          </w:tcPr>
          <w:p w14:paraId="1668E5F3" w14:textId="6649583E" w:rsidR="006569E2" w:rsidRPr="006118F7" w:rsidRDefault="006118F7" w:rsidP="00A05F71">
            <w:pPr>
              <w:rPr>
                <w:b/>
                <w:sz w:val="28"/>
                <w:szCs w:val="18"/>
              </w:rPr>
            </w:pPr>
            <w:r w:rsidRPr="006118F7">
              <w:rPr>
                <w:sz w:val="28"/>
                <w:szCs w:val="18"/>
              </w:rPr>
              <w:t>Positive Climate for Learning</w:t>
            </w:r>
          </w:p>
        </w:tc>
        <w:tc>
          <w:tcPr>
            <w:tcW w:w="6615" w:type="dxa"/>
            <w:tcBorders>
              <w:top w:val="single" w:sz="12" w:space="0" w:color="auto"/>
              <w:bottom w:val="single" w:sz="4" w:space="0" w:color="auto"/>
            </w:tcBorders>
            <w:shd w:val="clear" w:color="auto" w:fill="auto"/>
          </w:tcPr>
          <w:p w14:paraId="7E4B9F56" w14:textId="77777777" w:rsidR="004423B9" w:rsidRDefault="004423B9" w:rsidP="004423B9">
            <w:pPr>
              <w:pStyle w:val="Table-Entry"/>
              <w:ind w:left="720"/>
              <w:rPr>
                <w:rFonts w:ascii="Verdana" w:hAnsi="Verdana"/>
                <w:color w:val="auto"/>
                <w:sz w:val="20"/>
                <w:szCs w:val="20"/>
              </w:rPr>
            </w:pPr>
          </w:p>
          <w:p w14:paraId="27E9F39B" w14:textId="73C8ED7C" w:rsidR="006569E2" w:rsidRPr="00C40892" w:rsidRDefault="00C40892" w:rsidP="00C40892">
            <w:pPr>
              <w:pStyle w:val="Table-Entry"/>
              <w:numPr>
                <w:ilvl w:val="0"/>
                <w:numId w:val="4"/>
              </w:numPr>
              <w:rPr>
                <w:rFonts w:ascii="Verdana" w:hAnsi="Verdana"/>
                <w:color w:val="auto"/>
                <w:sz w:val="20"/>
                <w:szCs w:val="20"/>
              </w:rPr>
            </w:pPr>
            <w:r w:rsidRPr="004F52FF">
              <w:rPr>
                <w:rFonts w:ascii="Verdana" w:hAnsi="Verdana"/>
                <w:color w:val="auto"/>
                <w:sz w:val="20"/>
                <w:szCs w:val="20"/>
              </w:rPr>
              <w:t>involve the students in their learning through their goal setting.</w:t>
            </w:r>
          </w:p>
        </w:tc>
        <w:tc>
          <w:tcPr>
            <w:tcW w:w="6615" w:type="dxa"/>
            <w:tcBorders>
              <w:top w:val="single" w:sz="12" w:space="0" w:color="auto"/>
            </w:tcBorders>
            <w:shd w:val="clear" w:color="auto" w:fill="auto"/>
          </w:tcPr>
          <w:p w14:paraId="71E5341D" w14:textId="77777777" w:rsidR="004423B9" w:rsidRDefault="004423B9" w:rsidP="004423B9">
            <w:pPr>
              <w:pStyle w:val="Table-Entry"/>
              <w:ind w:left="360"/>
              <w:rPr>
                <w:rFonts w:ascii="Verdana" w:hAnsi="Verdana"/>
                <w:color w:val="auto"/>
                <w:sz w:val="20"/>
                <w:szCs w:val="20"/>
              </w:rPr>
            </w:pPr>
          </w:p>
          <w:p w14:paraId="2E1BC3DB" w14:textId="77777777" w:rsidR="006569E2" w:rsidRDefault="007276B2" w:rsidP="00C40892">
            <w:pPr>
              <w:pStyle w:val="Table-Entry"/>
              <w:numPr>
                <w:ilvl w:val="0"/>
                <w:numId w:val="4"/>
              </w:numPr>
              <w:rPr>
                <w:rFonts w:ascii="Verdana" w:hAnsi="Verdana"/>
                <w:color w:val="auto"/>
                <w:sz w:val="20"/>
                <w:szCs w:val="20"/>
              </w:rPr>
            </w:pPr>
            <w:r>
              <w:rPr>
                <w:rFonts w:ascii="Verdana" w:hAnsi="Verdana"/>
                <w:color w:val="auto"/>
                <w:sz w:val="20"/>
                <w:szCs w:val="20"/>
              </w:rPr>
              <w:t>In the Attitudes to School survey, mean scores in Teaching and Learning will be:</w:t>
            </w:r>
          </w:p>
          <w:p w14:paraId="7984B10F" w14:textId="77777777" w:rsidR="007276B2" w:rsidRDefault="007276B2" w:rsidP="007276B2">
            <w:pPr>
              <w:pStyle w:val="Table-Entry"/>
              <w:numPr>
                <w:ilvl w:val="1"/>
                <w:numId w:val="4"/>
              </w:numPr>
              <w:rPr>
                <w:rFonts w:ascii="Verdana" w:hAnsi="Verdana"/>
                <w:color w:val="auto"/>
                <w:sz w:val="20"/>
                <w:szCs w:val="20"/>
              </w:rPr>
            </w:pPr>
            <w:r>
              <w:rPr>
                <w:rFonts w:ascii="Verdana" w:hAnsi="Verdana"/>
                <w:color w:val="auto"/>
                <w:sz w:val="20"/>
                <w:szCs w:val="20"/>
              </w:rPr>
              <w:t>4.3 in “Stimulating Learning”</w:t>
            </w:r>
          </w:p>
          <w:p w14:paraId="65E00B2E" w14:textId="77777777" w:rsidR="007276B2" w:rsidRDefault="007276B2" w:rsidP="007276B2">
            <w:pPr>
              <w:pStyle w:val="Table-Entry"/>
              <w:numPr>
                <w:ilvl w:val="1"/>
                <w:numId w:val="4"/>
              </w:numPr>
              <w:rPr>
                <w:rFonts w:ascii="Verdana" w:hAnsi="Verdana"/>
                <w:color w:val="auto"/>
                <w:sz w:val="20"/>
                <w:szCs w:val="20"/>
              </w:rPr>
            </w:pPr>
            <w:r>
              <w:rPr>
                <w:rFonts w:ascii="Verdana" w:hAnsi="Verdana"/>
                <w:color w:val="auto"/>
                <w:sz w:val="20"/>
                <w:szCs w:val="20"/>
              </w:rPr>
              <w:t>4.5 in “Teacher Empathy”</w:t>
            </w:r>
          </w:p>
          <w:p w14:paraId="0B9C30ED" w14:textId="0DA2316E" w:rsidR="007276B2" w:rsidRPr="00C40892" w:rsidRDefault="007276B2" w:rsidP="007276B2">
            <w:pPr>
              <w:pStyle w:val="Table-Entry"/>
              <w:rPr>
                <w:rFonts w:ascii="Verdana" w:hAnsi="Verdana"/>
                <w:color w:val="auto"/>
                <w:sz w:val="20"/>
                <w:szCs w:val="20"/>
              </w:rPr>
            </w:pPr>
          </w:p>
        </w:tc>
      </w:tr>
      <w:tr w:rsidR="006569E2" w14:paraId="764A8805" w14:textId="020DAEFF" w:rsidTr="00665F3B">
        <w:trPr>
          <w:trHeight w:val="438"/>
        </w:trPr>
        <w:tc>
          <w:tcPr>
            <w:tcW w:w="6663" w:type="dxa"/>
            <w:shd w:val="clear" w:color="auto" w:fill="auto"/>
          </w:tcPr>
          <w:p w14:paraId="18380085" w14:textId="26CB27CA" w:rsidR="006569E2" w:rsidRPr="00CC615B" w:rsidRDefault="006569E2" w:rsidP="00A05F71">
            <w:pPr>
              <w:spacing w:before="120"/>
              <w:rPr>
                <w:b/>
                <w:sz w:val="18"/>
                <w:szCs w:val="18"/>
              </w:rPr>
            </w:pPr>
          </w:p>
        </w:tc>
        <w:tc>
          <w:tcPr>
            <w:tcW w:w="2694" w:type="dxa"/>
            <w:vMerge/>
            <w:shd w:val="clear" w:color="auto" w:fill="auto"/>
          </w:tcPr>
          <w:p w14:paraId="2DC6B7C8" w14:textId="0ED4E3E8" w:rsidR="006569E2" w:rsidRPr="00CC615B" w:rsidRDefault="006569E2" w:rsidP="00A05F71">
            <w:pPr>
              <w:spacing w:before="120"/>
              <w:rPr>
                <w:b/>
                <w:sz w:val="18"/>
                <w:szCs w:val="18"/>
              </w:rPr>
            </w:pPr>
          </w:p>
        </w:tc>
        <w:tc>
          <w:tcPr>
            <w:tcW w:w="6615" w:type="dxa"/>
            <w:shd w:val="clear" w:color="auto" w:fill="auto"/>
          </w:tcPr>
          <w:p w14:paraId="6B5EA51F" w14:textId="77777777" w:rsidR="004423B9" w:rsidRDefault="004423B9" w:rsidP="004423B9">
            <w:pPr>
              <w:pStyle w:val="Table-Entry"/>
              <w:ind w:left="720"/>
              <w:rPr>
                <w:rFonts w:ascii="Verdana" w:hAnsi="Verdana"/>
                <w:color w:val="auto"/>
                <w:sz w:val="20"/>
                <w:szCs w:val="20"/>
              </w:rPr>
            </w:pPr>
          </w:p>
          <w:p w14:paraId="50EB8497" w14:textId="362CAFBD" w:rsidR="006569E2" w:rsidRPr="00C40892" w:rsidRDefault="00C40892" w:rsidP="00C40892">
            <w:pPr>
              <w:pStyle w:val="Table-Entry"/>
              <w:numPr>
                <w:ilvl w:val="0"/>
                <w:numId w:val="4"/>
              </w:numPr>
              <w:rPr>
                <w:rFonts w:ascii="Verdana" w:hAnsi="Verdana"/>
                <w:color w:val="auto"/>
                <w:sz w:val="20"/>
                <w:szCs w:val="20"/>
              </w:rPr>
            </w:pPr>
            <w:r w:rsidRPr="004F52FF">
              <w:rPr>
                <w:rFonts w:ascii="Verdana" w:hAnsi="Verdana"/>
                <w:color w:val="auto"/>
                <w:sz w:val="20"/>
                <w:szCs w:val="20"/>
              </w:rPr>
              <w:t>develop opportunities for parent involvement that enhances student learning.</w:t>
            </w:r>
          </w:p>
        </w:tc>
        <w:tc>
          <w:tcPr>
            <w:tcW w:w="6615" w:type="dxa"/>
            <w:shd w:val="clear" w:color="auto" w:fill="auto"/>
          </w:tcPr>
          <w:p w14:paraId="70259B57" w14:textId="036DCF49" w:rsidR="004423B9" w:rsidRDefault="004423B9" w:rsidP="004423B9">
            <w:pPr>
              <w:pStyle w:val="Table-Entry"/>
              <w:ind w:left="360"/>
              <w:rPr>
                <w:rFonts w:ascii="Verdana" w:hAnsi="Verdana"/>
                <w:color w:val="auto"/>
                <w:sz w:val="20"/>
                <w:szCs w:val="20"/>
              </w:rPr>
            </w:pPr>
          </w:p>
          <w:p w14:paraId="71022317" w14:textId="77777777" w:rsidR="00DF1D2B" w:rsidRDefault="004615E4" w:rsidP="004615E4">
            <w:pPr>
              <w:pStyle w:val="Table-Entry"/>
              <w:numPr>
                <w:ilvl w:val="0"/>
                <w:numId w:val="4"/>
              </w:numPr>
              <w:rPr>
                <w:rFonts w:ascii="Verdana" w:hAnsi="Verdana"/>
                <w:color w:val="auto"/>
                <w:sz w:val="20"/>
                <w:szCs w:val="20"/>
              </w:rPr>
            </w:pPr>
            <w:r>
              <w:rPr>
                <w:rFonts w:ascii="Verdana" w:hAnsi="Verdana"/>
                <w:color w:val="auto"/>
                <w:sz w:val="20"/>
                <w:szCs w:val="20"/>
              </w:rPr>
              <w:t>In the Parent</w:t>
            </w:r>
            <w:r w:rsidR="00DF1D2B">
              <w:rPr>
                <w:rFonts w:ascii="Verdana" w:hAnsi="Verdana"/>
                <w:color w:val="auto"/>
                <w:sz w:val="20"/>
                <w:szCs w:val="20"/>
              </w:rPr>
              <w:t xml:space="preserve"> Opinion Survey, mean scores will be:</w:t>
            </w:r>
          </w:p>
          <w:p w14:paraId="26B5C444" w14:textId="55592964" w:rsidR="004615E4" w:rsidRDefault="00DF1D2B" w:rsidP="00DF1D2B">
            <w:pPr>
              <w:pStyle w:val="Table-Entry"/>
              <w:numPr>
                <w:ilvl w:val="1"/>
                <w:numId w:val="4"/>
              </w:numPr>
              <w:rPr>
                <w:rFonts w:ascii="Verdana" w:hAnsi="Verdana"/>
                <w:color w:val="auto"/>
                <w:sz w:val="20"/>
                <w:szCs w:val="20"/>
              </w:rPr>
            </w:pPr>
            <w:r w:rsidRPr="00DF1D2B">
              <w:rPr>
                <w:rFonts w:ascii="Verdana" w:hAnsi="Verdana"/>
                <w:color w:val="auto"/>
                <w:sz w:val="20"/>
                <w:szCs w:val="20"/>
              </w:rPr>
              <w:t xml:space="preserve">6.0 in “Stimulating Learning” </w:t>
            </w:r>
          </w:p>
          <w:p w14:paraId="5895C342" w14:textId="6032676A" w:rsidR="00DF1D2B" w:rsidRDefault="00DF1D2B" w:rsidP="00DF1D2B">
            <w:pPr>
              <w:pStyle w:val="Table-Entry"/>
              <w:numPr>
                <w:ilvl w:val="1"/>
                <w:numId w:val="4"/>
              </w:numPr>
              <w:rPr>
                <w:rFonts w:ascii="Verdana" w:hAnsi="Verdana"/>
                <w:color w:val="auto"/>
                <w:sz w:val="20"/>
                <w:szCs w:val="20"/>
              </w:rPr>
            </w:pPr>
            <w:r>
              <w:rPr>
                <w:rFonts w:ascii="Verdana" w:hAnsi="Verdana"/>
                <w:color w:val="auto"/>
                <w:sz w:val="20"/>
                <w:szCs w:val="20"/>
              </w:rPr>
              <w:t>5.6 in “Student Safety”</w:t>
            </w:r>
          </w:p>
          <w:p w14:paraId="08B62494" w14:textId="37C6DCAA" w:rsidR="00DF1D2B" w:rsidRPr="00DF1D2B" w:rsidRDefault="00DF1D2B" w:rsidP="00DF1D2B">
            <w:pPr>
              <w:pStyle w:val="Table-Entry"/>
              <w:numPr>
                <w:ilvl w:val="1"/>
                <w:numId w:val="4"/>
              </w:numPr>
              <w:rPr>
                <w:rFonts w:ascii="Verdana" w:hAnsi="Verdana"/>
                <w:color w:val="auto"/>
                <w:sz w:val="20"/>
                <w:szCs w:val="20"/>
              </w:rPr>
            </w:pPr>
            <w:r>
              <w:rPr>
                <w:rFonts w:ascii="Verdana" w:hAnsi="Verdana"/>
                <w:color w:val="auto"/>
                <w:sz w:val="20"/>
                <w:szCs w:val="20"/>
              </w:rPr>
              <w:t>4.6 in “Classroom Behaviour”</w:t>
            </w:r>
          </w:p>
          <w:p w14:paraId="61FF1745" w14:textId="77777777" w:rsidR="006569E2" w:rsidRDefault="006569E2" w:rsidP="00DF1D2B">
            <w:pPr>
              <w:pStyle w:val="Table-Entry"/>
              <w:rPr>
                <w:highlight w:val="lightGray"/>
              </w:rPr>
            </w:pPr>
          </w:p>
        </w:tc>
      </w:tr>
      <w:tr w:rsidR="006569E2" w14:paraId="08FC85D5" w14:textId="122C9979" w:rsidTr="00665F3B">
        <w:trPr>
          <w:trHeight w:val="438"/>
        </w:trPr>
        <w:tc>
          <w:tcPr>
            <w:tcW w:w="6663" w:type="dxa"/>
            <w:shd w:val="clear" w:color="auto" w:fill="auto"/>
          </w:tcPr>
          <w:p w14:paraId="7335AB88" w14:textId="77777777" w:rsidR="006569E2" w:rsidRPr="00CC615B" w:rsidRDefault="006569E2" w:rsidP="00A05F71">
            <w:pPr>
              <w:spacing w:before="120"/>
              <w:rPr>
                <w:b/>
                <w:sz w:val="18"/>
                <w:szCs w:val="18"/>
              </w:rPr>
            </w:pPr>
          </w:p>
        </w:tc>
        <w:tc>
          <w:tcPr>
            <w:tcW w:w="2694" w:type="dxa"/>
            <w:vMerge/>
            <w:shd w:val="clear" w:color="auto" w:fill="auto"/>
          </w:tcPr>
          <w:p w14:paraId="24511417" w14:textId="7158B571" w:rsidR="006569E2" w:rsidRPr="00CC615B" w:rsidRDefault="006569E2" w:rsidP="00A05F71">
            <w:pPr>
              <w:spacing w:before="120"/>
              <w:rPr>
                <w:b/>
                <w:sz w:val="18"/>
                <w:szCs w:val="18"/>
              </w:rPr>
            </w:pPr>
          </w:p>
        </w:tc>
        <w:tc>
          <w:tcPr>
            <w:tcW w:w="6615" w:type="dxa"/>
            <w:shd w:val="clear" w:color="auto" w:fill="auto"/>
          </w:tcPr>
          <w:p w14:paraId="5648CF02" w14:textId="77777777" w:rsidR="004423B9" w:rsidRPr="004423B9" w:rsidRDefault="004423B9" w:rsidP="004423B9">
            <w:pPr>
              <w:pStyle w:val="ListParagraph"/>
              <w:rPr>
                <w:sz w:val="18"/>
                <w:szCs w:val="18"/>
              </w:rPr>
            </w:pPr>
          </w:p>
          <w:p w14:paraId="571FD817" w14:textId="3D09AB02" w:rsidR="006569E2" w:rsidRPr="004423B9" w:rsidRDefault="003F0601" w:rsidP="00C40892">
            <w:pPr>
              <w:pStyle w:val="ListParagraph"/>
              <w:numPr>
                <w:ilvl w:val="0"/>
                <w:numId w:val="8"/>
              </w:numPr>
              <w:rPr>
                <w:sz w:val="18"/>
                <w:szCs w:val="18"/>
              </w:rPr>
            </w:pPr>
            <w:r>
              <w:rPr>
                <w:rFonts w:ascii="Verdana" w:hAnsi="Verdana"/>
                <w:sz w:val="20"/>
                <w:szCs w:val="20"/>
              </w:rPr>
              <w:t xml:space="preserve">build </w:t>
            </w:r>
            <w:r w:rsidR="00C40892" w:rsidRPr="004F52FF">
              <w:rPr>
                <w:rFonts w:ascii="Verdana" w:hAnsi="Verdana"/>
                <w:sz w:val="20"/>
                <w:szCs w:val="20"/>
              </w:rPr>
              <w:t>a whole school approach to developing effective relationships with all stakeholders.</w:t>
            </w:r>
          </w:p>
          <w:p w14:paraId="2C20FFA7" w14:textId="423A7178" w:rsidR="004423B9" w:rsidRPr="00C40892" w:rsidRDefault="004423B9" w:rsidP="004423B9">
            <w:pPr>
              <w:pStyle w:val="ListParagraph"/>
              <w:rPr>
                <w:sz w:val="18"/>
                <w:szCs w:val="18"/>
              </w:rPr>
            </w:pPr>
          </w:p>
        </w:tc>
        <w:tc>
          <w:tcPr>
            <w:tcW w:w="6615" w:type="dxa"/>
            <w:shd w:val="clear" w:color="auto" w:fill="auto"/>
          </w:tcPr>
          <w:p w14:paraId="3972254D" w14:textId="77777777" w:rsidR="007276B2" w:rsidRPr="007276B2" w:rsidRDefault="007276B2" w:rsidP="007276B2">
            <w:pPr>
              <w:pStyle w:val="ListParagraph"/>
              <w:rPr>
                <w:sz w:val="18"/>
                <w:szCs w:val="18"/>
              </w:rPr>
            </w:pPr>
          </w:p>
          <w:p w14:paraId="5408748C" w14:textId="5FF79DEB" w:rsidR="006569E2" w:rsidRPr="007276B2" w:rsidRDefault="007276B2" w:rsidP="007276B2">
            <w:pPr>
              <w:pStyle w:val="ListParagraph"/>
              <w:numPr>
                <w:ilvl w:val="0"/>
                <w:numId w:val="8"/>
              </w:numPr>
              <w:rPr>
                <w:sz w:val="18"/>
                <w:szCs w:val="18"/>
              </w:rPr>
            </w:pPr>
            <w:r w:rsidRPr="007276B2">
              <w:rPr>
                <w:rFonts w:ascii="Verdana" w:hAnsi="Verdana"/>
                <w:sz w:val="20"/>
                <w:szCs w:val="20"/>
              </w:rPr>
              <w:t>In the Attitudes To School survey, mean scores in the ”Wellbeing” variables will remain at or above 6.0</w:t>
            </w:r>
          </w:p>
        </w:tc>
      </w:tr>
    </w:tbl>
    <w:p w14:paraId="49995CCD" w14:textId="7C1336D4" w:rsidR="005D1881" w:rsidRPr="00E23FC3" w:rsidRDefault="005D1881" w:rsidP="00665F3B">
      <w:pPr>
        <w:tabs>
          <w:tab w:val="left" w:pos="1875"/>
        </w:tabs>
      </w:pPr>
    </w:p>
    <w:sectPr w:rsidR="005D1881" w:rsidRPr="00E23FC3" w:rsidSect="009C2917">
      <w:headerReference w:type="default" r:id="rId12"/>
      <w:footerReference w:type="default" r:id="rId13"/>
      <w:pgSz w:w="23814" w:h="16839" w:orient="landscape" w:code="8"/>
      <w:pgMar w:top="993" w:right="1440" w:bottom="1276" w:left="1440" w:header="708" w:footer="0"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0EE4" w14:textId="77777777" w:rsidR="008C0A6C" w:rsidRDefault="008C0A6C" w:rsidP="00974440">
      <w:r>
        <w:separator/>
      </w:r>
    </w:p>
  </w:endnote>
  <w:endnote w:type="continuationSeparator" w:id="0">
    <w:p w14:paraId="2B9A899D" w14:textId="77777777" w:rsidR="008C0A6C" w:rsidRDefault="008C0A6C"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D34" w14:textId="2C564862" w:rsidR="00974440" w:rsidRDefault="00DE45AD" w:rsidP="0062345F">
    <w:pPr>
      <w:pStyle w:val="Footer"/>
      <w:tabs>
        <w:tab w:val="clear" w:pos="9026"/>
        <w:tab w:val="right" w:pos="12616"/>
      </w:tabs>
      <w:jc w:val="both"/>
    </w:pPr>
    <w:r w:rsidRPr="00DE45AD">
      <w:rPr>
        <w:noProof/>
        <w:lang w:eastAsia="en-AU"/>
      </w:rPr>
      <w:drawing>
        <wp:inline distT="0" distB="0" distL="0" distR="0" wp14:anchorId="5D06818A" wp14:editId="2A4D1C9A">
          <wp:extent cx="13373100" cy="830468"/>
          <wp:effectExtent l="0" t="0" r="0" b="8255"/>
          <wp:docPr id="3" name="Picture 3" descr="C:\Users\09384802\Pictures\FISO footer A3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84802\Pictures\FISO footer A3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982" cy="8389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3295" w14:textId="77777777" w:rsidR="008C0A6C" w:rsidRDefault="008C0A6C" w:rsidP="00974440">
      <w:r>
        <w:separator/>
      </w:r>
    </w:p>
  </w:footnote>
  <w:footnote w:type="continuationSeparator" w:id="0">
    <w:p w14:paraId="5302ECB2" w14:textId="77777777" w:rsidR="008C0A6C" w:rsidRDefault="008C0A6C" w:rsidP="009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E168" w14:textId="46A9B3ED" w:rsidR="004725D1" w:rsidRPr="0062345F" w:rsidRDefault="00776AA9" w:rsidP="0062345F">
    <w:pPr>
      <w:pStyle w:val="Footer"/>
      <w:tabs>
        <w:tab w:val="clear" w:pos="9026"/>
        <w:tab w:val="right" w:pos="12616"/>
      </w:tabs>
      <w:jc w:val="right"/>
      <w:rPr>
        <w:sz w:val="18"/>
      </w:rPr>
    </w:pPr>
    <w:sdt>
      <w:sdtPr>
        <w:id w:val="59987800"/>
        <w:docPartObj>
          <w:docPartGallery w:val="Watermarks"/>
          <w:docPartUnique/>
        </w:docPartObj>
      </w:sdtPr>
      <w:sdtEndPr/>
      <w:sdtContent>
        <w:r>
          <w:rPr>
            <w:noProof/>
            <w:lang w:val="en-US"/>
          </w:rPr>
          <w:pict w14:anchorId="50D89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345F" w:rsidRPr="0062345F">
      <w:rPr>
        <w:sz w:val="18"/>
      </w:rPr>
      <w:t xml:space="preserve"> Published: March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474B"/>
    <w:multiLevelType w:val="hybridMultilevel"/>
    <w:tmpl w:val="4C6C5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3F145E"/>
    <w:multiLevelType w:val="hybridMultilevel"/>
    <w:tmpl w:val="D77E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F7262"/>
    <w:multiLevelType w:val="hybridMultilevel"/>
    <w:tmpl w:val="F4F4D3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5F74A41"/>
    <w:multiLevelType w:val="hybridMultilevel"/>
    <w:tmpl w:val="C608B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314D1B"/>
    <w:multiLevelType w:val="hybridMultilevel"/>
    <w:tmpl w:val="551A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1290E"/>
    <w:rsid w:val="0001550E"/>
    <w:rsid w:val="000159DE"/>
    <w:rsid w:val="000366F3"/>
    <w:rsid w:val="000471C8"/>
    <w:rsid w:val="00051AFD"/>
    <w:rsid w:val="00055235"/>
    <w:rsid w:val="000925E5"/>
    <w:rsid w:val="000940D9"/>
    <w:rsid w:val="00095FB8"/>
    <w:rsid w:val="000A15F3"/>
    <w:rsid w:val="000A469C"/>
    <w:rsid w:val="000C2706"/>
    <w:rsid w:val="001148BF"/>
    <w:rsid w:val="00194246"/>
    <w:rsid w:val="001C1C92"/>
    <w:rsid w:val="001F7B2C"/>
    <w:rsid w:val="00214D0E"/>
    <w:rsid w:val="002162D6"/>
    <w:rsid w:val="00274510"/>
    <w:rsid w:val="002A4359"/>
    <w:rsid w:val="002A52B0"/>
    <w:rsid w:val="002A6E77"/>
    <w:rsid w:val="002B14ED"/>
    <w:rsid w:val="00300E45"/>
    <w:rsid w:val="00322898"/>
    <w:rsid w:val="00356F7D"/>
    <w:rsid w:val="00367C8D"/>
    <w:rsid w:val="0038025F"/>
    <w:rsid w:val="00387A1A"/>
    <w:rsid w:val="00397465"/>
    <w:rsid w:val="003A67F0"/>
    <w:rsid w:val="003A73ED"/>
    <w:rsid w:val="003B4C29"/>
    <w:rsid w:val="003D3F40"/>
    <w:rsid w:val="003E6DD0"/>
    <w:rsid w:val="003F0601"/>
    <w:rsid w:val="0042621B"/>
    <w:rsid w:val="004423B9"/>
    <w:rsid w:val="004568F8"/>
    <w:rsid w:val="004615E4"/>
    <w:rsid w:val="0046256B"/>
    <w:rsid w:val="004725D1"/>
    <w:rsid w:val="0047280E"/>
    <w:rsid w:val="004A145C"/>
    <w:rsid w:val="004B5DD7"/>
    <w:rsid w:val="004C044E"/>
    <w:rsid w:val="004C4E7B"/>
    <w:rsid w:val="004E55C3"/>
    <w:rsid w:val="004E7450"/>
    <w:rsid w:val="00520115"/>
    <w:rsid w:val="00542AB9"/>
    <w:rsid w:val="0054608F"/>
    <w:rsid w:val="00582A13"/>
    <w:rsid w:val="005A61C0"/>
    <w:rsid w:val="005B0635"/>
    <w:rsid w:val="005D1881"/>
    <w:rsid w:val="005E6A1C"/>
    <w:rsid w:val="005F2D03"/>
    <w:rsid w:val="005F7189"/>
    <w:rsid w:val="006118F7"/>
    <w:rsid w:val="0062345F"/>
    <w:rsid w:val="00624C9C"/>
    <w:rsid w:val="00632BFE"/>
    <w:rsid w:val="006569E2"/>
    <w:rsid w:val="00665F3B"/>
    <w:rsid w:val="006935E6"/>
    <w:rsid w:val="006A6182"/>
    <w:rsid w:val="006E69E4"/>
    <w:rsid w:val="006F5C37"/>
    <w:rsid w:val="00707695"/>
    <w:rsid w:val="00722CB1"/>
    <w:rsid w:val="007274A1"/>
    <w:rsid w:val="007276B2"/>
    <w:rsid w:val="007316E4"/>
    <w:rsid w:val="00735A4B"/>
    <w:rsid w:val="007630A0"/>
    <w:rsid w:val="007656C7"/>
    <w:rsid w:val="00770280"/>
    <w:rsid w:val="00773BA5"/>
    <w:rsid w:val="00776AA9"/>
    <w:rsid w:val="0080062C"/>
    <w:rsid w:val="00806298"/>
    <w:rsid w:val="008138B6"/>
    <w:rsid w:val="00844EAB"/>
    <w:rsid w:val="008509F8"/>
    <w:rsid w:val="00874CD6"/>
    <w:rsid w:val="008A7EAA"/>
    <w:rsid w:val="008C0562"/>
    <w:rsid w:val="008C0A6C"/>
    <w:rsid w:val="008E4759"/>
    <w:rsid w:val="009024E2"/>
    <w:rsid w:val="00907788"/>
    <w:rsid w:val="00910D32"/>
    <w:rsid w:val="00974440"/>
    <w:rsid w:val="0098164A"/>
    <w:rsid w:val="009872A9"/>
    <w:rsid w:val="009C1955"/>
    <w:rsid w:val="009C2917"/>
    <w:rsid w:val="009D3CDE"/>
    <w:rsid w:val="00A661A2"/>
    <w:rsid w:val="00A83E3E"/>
    <w:rsid w:val="00A9733C"/>
    <w:rsid w:val="00AC222C"/>
    <w:rsid w:val="00B10F75"/>
    <w:rsid w:val="00B1702A"/>
    <w:rsid w:val="00B23E83"/>
    <w:rsid w:val="00B85BE6"/>
    <w:rsid w:val="00C100E7"/>
    <w:rsid w:val="00C40892"/>
    <w:rsid w:val="00C470C4"/>
    <w:rsid w:val="00C53249"/>
    <w:rsid w:val="00C57A73"/>
    <w:rsid w:val="00C627D9"/>
    <w:rsid w:val="00C75C52"/>
    <w:rsid w:val="00CA7CF2"/>
    <w:rsid w:val="00CC615B"/>
    <w:rsid w:val="00CF5ED9"/>
    <w:rsid w:val="00D0715E"/>
    <w:rsid w:val="00D8689A"/>
    <w:rsid w:val="00DA0748"/>
    <w:rsid w:val="00DA6410"/>
    <w:rsid w:val="00DC072B"/>
    <w:rsid w:val="00DD0650"/>
    <w:rsid w:val="00DD12F8"/>
    <w:rsid w:val="00DE45AD"/>
    <w:rsid w:val="00DF1D2B"/>
    <w:rsid w:val="00E23FC3"/>
    <w:rsid w:val="00E257F3"/>
    <w:rsid w:val="00E67E9B"/>
    <w:rsid w:val="00E81392"/>
    <w:rsid w:val="00EA551B"/>
    <w:rsid w:val="00EB7105"/>
    <w:rsid w:val="00EE7142"/>
    <w:rsid w:val="00F208D7"/>
    <w:rsid w:val="00F4144D"/>
    <w:rsid w:val="00F446EB"/>
    <w:rsid w:val="00F5776D"/>
    <w:rsid w:val="00FA308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5C9E"/>
  <w15:docId w15:val="{ADEE3281-29FF-4885-96FA-76F2141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aliases w:val="List Paragraph1,List Paragraph11"/>
    <w:basedOn w:val="Normal"/>
    <w:uiPriority w:val="34"/>
    <w:qFormat/>
    <w:rsid w:val="006F5C37"/>
    <w:pPr>
      <w:ind w:left="720"/>
      <w:contextualSpacing/>
    </w:pPr>
  </w:style>
  <w:style w:type="paragraph" w:customStyle="1" w:styleId="Default">
    <w:name w:val="Default"/>
    <w:rsid w:val="0042621B"/>
    <w:pPr>
      <w:widowControl w:val="0"/>
      <w:autoSpaceDE w:val="0"/>
      <w:autoSpaceDN w:val="0"/>
      <w:adjustRightInd w:val="0"/>
    </w:pPr>
    <w:rPr>
      <w:rFonts w:ascii="Arial" w:eastAsia="Times New Roman" w:hAnsi="Arial" w:cs="Arial"/>
      <w:color w:val="000000"/>
      <w:sz w:val="24"/>
      <w:szCs w:val="24"/>
      <w:lang w:val="en-US"/>
    </w:rPr>
  </w:style>
  <w:style w:type="paragraph" w:customStyle="1" w:styleId="Table-Entry">
    <w:name w:val="Table - Entry"/>
    <w:basedOn w:val="Default"/>
    <w:rsid w:val="0042621B"/>
    <w:pPr>
      <w:tabs>
        <w:tab w:val="left" w:pos="205"/>
      </w:tabs>
    </w:pPr>
    <w:rPr>
      <w:color w:val="7372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B6D12-B58A-4479-9E2C-BA2596EFC98A}">
  <ds:schemaRefs>
    <ds:schemaRef ds:uri="http://schemas.microsoft.com/office/2006/metadata/properties"/>
    <ds:schemaRef ds:uri="http://schemas.openxmlformats.org/package/2006/metadata/core-properties"/>
    <ds:schemaRef ds:uri="2fb8e541-c96b-4620-b82c-f319e82f9fb1"/>
    <ds:schemaRef ds:uri="http://schemas.microsoft.com/Sharepoint/v3"/>
    <ds:schemaRef ds:uri="d2d43896-245d-412b-9865-a0e2354e9942"/>
    <ds:schemaRef ds:uri="http://purl.org/dc/terms/"/>
    <ds:schemaRef ds:uri="http://schemas.microsoft.com/office/2006/documentManagement/types"/>
    <ds:schemaRef ds:uri="http://schemas.microsoft.com/office/infopath/2007/PartnerControls"/>
    <ds:schemaRef ds:uri="http://schemas.microsoft.com/sharepoint/v4"/>
    <ds:schemaRef ds:uri="http://purl.org/dc/elements/1.1/"/>
    <ds:schemaRef ds:uri="b18ed191-9664-4865-9546-49bc3f5dd491"/>
    <ds:schemaRef ds:uri="http://www.w3.org/XML/1998/namespace"/>
    <ds:schemaRef ds:uri="http://purl.org/dc/dcmitype/"/>
  </ds:schemaRefs>
</ds:datastoreItem>
</file>

<file path=customXml/itemProps3.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4.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5.xml><?xml version="1.0" encoding="utf-8"?>
<ds:datastoreItem xmlns:ds="http://schemas.openxmlformats.org/officeDocument/2006/customXml" ds:itemID="{A14E28F4-8DC2-49E2-9C0A-54A5330F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Lane, Arthur W</cp:lastModifiedBy>
  <cp:revision>15</cp:revision>
  <cp:lastPrinted>2017-04-23T23:45:00Z</cp:lastPrinted>
  <dcterms:created xsi:type="dcterms:W3CDTF">2017-04-21T02:32:00Z</dcterms:created>
  <dcterms:modified xsi:type="dcterms:W3CDTF">2017-04-26T00:05:00Z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2017-03-29T09:14:22.4664949+11:00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